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9C" w:rsidRDefault="004D789C" w:rsidP="00734473">
      <w:pPr>
        <w:pStyle w:val="ListParagraph"/>
        <w:spacing w:line="360" w:lineRule="auto"/>
        <w:ind w:left="1932" w:firstLine="2179"/>
        <w:rPr>
          <w:rFonts w:ascii="Arial" w:hAnsi="Arial" w:cs="Arial"/>
          <w:b/>
          <w:sz w:val="24"/>
          <w:szCs w:val="24"/>
          <w:lang w:val="en-ID"/>
        </w:rPr>
      </w:pPr>
      <w:r>
        <w:rPr>
          <w:rFonts w:ascii="Arial" w:hAnsi="Arial" w:cs="Arial"/>
          <w:b/>
          <w:sz w:val="24"/>
          <w:szCs w:val="24"/>
          <w:lang w:val="en-ID"/>
        </w:rPr>
        <w:t>BAB IV</w:t>
      </w:r>
    </w:p>
    <w:p w:rsidR="004D789C" w:rsidRDefault="004D789C" w:rsidP="00734473">
      <w:pPr>
        <w:spacing w:line="360" w:lineRule="auto"/>
        <w:jc w:val="center"/>
        <w:rPr>
          <w:rFonts w:ascii="Arial" w:hAnsi="Arial" w:cs="Arial"/>
          <w:b/>
          <w:sz w:val="24"/>
          <w:szCs w:val="24"/>
          <w:lang w:val="en-ID"/>
        </w:rPr>
      </w:pPr>
      <w:r w:rsidRPr="003D40A6">
        <w:rPr>
          <w:rFonts w:ascii="Arial" w:hAnsi="Arial" w:cs="Arial"/>
          <w:b/>
          <w:sz w:val="24"/>
          <w:szCs w:val="24"/>
          <w:lang w:val="en-ID"/>
        </w:rPr>
        <w:t>SIMPULAN DAN SARAN</w:t>
      </w:r>
    </w:p>
    <w:p w:rsidR="004D789C" w:rsidRPr="004D789C" w:rsidRDefault="004D789C" w:rsidP="00734473">
      <w:pPr>
        <w:pStyle w:val="ListParagraph"/>
        <w:numPr>
          <w:ilvl w:val="1"/>
          <w:numId w:val="3"/>
        </w:numPr>
        <w:spacing w:line="360" w:lineRule="auto"/>
        <w:ind w:left="851" w:hanging="567"/>
        <w:rPr>
          <w:rFonts w:ascii="Arial" w:hAnsi="Arial" w:cs="Arial"/>
          <w:b/>
          <w:lang w:val="en-ID"/>
        </w:rPr>
      </w:pPr>
      <w:r w:rsidRPr="004D789C">
        <w:rPr>
          <w:rFonts w:ascii="Arial" w:hAnsi="Arial" w:cs="Arial"/>
          <w:b/>
          <w:lang w:val="en-ID"/>
        </w:rPr>
        <w:t xml:space="preserve">Kesimpulan </w:t>
      </w:r>
    </w:p>
    <w:p w:rsidR="004D789C" w:rsidRDefault="004D789C" w:rsidP="00734473">
      <w:pPr>
        <w:pStyle w:val="ListParagraph"/>
        <w:spacing w:line="360" w:lineRule="auto"/>
        <w:ind w:left="284" w:firstLine="567"/>
        <w:rPr>
          <w:rFonts w:ascii="Arial" w:hAnsi="Arial" w:cs="Arial"/>
          <w:lang w:val="en-ID"/>
        </w:rPr>
      </w:pPr>
      <w:r>
        <w:rPr>
          <w:rFonts w:ascii="Arial" w:hAnsi="Arial" w:cs="Arial"/>
          <w:lang w:val="en-ID"/>
        </w:rPr>
        <w:t xml:space="preserve">Berdasarkan analisis dan pembahasan penulis terkait produk tabungan mabrur di Bank Syariah Mandiri Area Bogor, maka dapat ditarik kesimpulan sebagai berikut : </w:t>
      </w:r>
    </w:p>
    <w:p w:rsidR="004D789C" w:rsidRDefault="004D789C" w:rsidP="00734473">
      <w:pPr>
        <w:pStyle w:val="ListParagraph"/>
        <w:numPr>
          <w:ilvl w:val="0"/>
          <w:numId w:val="2"/>
        </w:numPr>
        <w:spacing w:line="360" w:lineRule="auto"/>
        <w:rPr>
          <w:rFonts w:ascii="Arial" w:hAnsi="Arial" w:cs="Arial"/>
          <w:lang w:val="en-ID"/>
        </w:rPr>
      </w:pPr>
      <w:r>
        <w:rPr>
          <w:rFonts w:ascii="Arial" w:hAnsi="Arial" w:cs="Arial"/>
          <w:lang w:val="en-ID"/>
        </w:rPr>
        <w:t xml:space="preserve">Pada dasarnya prosedur yang dilakukan oleh nasabah untuk pendaftaran haji dan pelunasan BPIH regular dengan menggunakan tabungan mabrur di Bank Syariah Mandiri Area Bogor adalah sama. Kedua prosedur tersebut melibatkan beberapa pihak seperti </w:t>
      </w:r>
      <w:r>
        <w:rPr>
          <w:rFonts w:ascii="Arial" w:hAnsi="Arial" w:cs="Arial"/>
          <w:i/>
          <w:lang w:val="en-ID"/>
        </w:rPr>
        <w:t xml:space="preserve">Customer Service, Teller, </w:t>
      </w:r>
      <w:r>
        <w:rPr>
          <w:rFonts w:ascii="Arial" w:hAnsi="Arial" w:cs="Arial"/>
          <w:lang w:val="en-ID"/>
        </w:rPr>
        <w:t xml:space="preserve">dan </w:t>
      </w:r>
      <w:r>
        <w:rPr>
          <w:rFonts w:ascii="Arial" w:hAnsi="Arial" w:cs="Arial"/>
          <w:i/>
          <w:lang w:val="en-ID"/>
        </w:rPr>
        <w:t xml:space="preserve">Customer Service Officer (CSO). </w:t>
      </w:r>
      <w:r>
        <w:rPr>
          <w:rFonts w:ascii="Arial" w:hAnsi="Arial" w:cs="Arial"/>
          <w:lang w:val="en-ID"/>
        </w:rPr>
        <w:t xml:space="preserve">Selain ketiga bagian tersebut, prosedur ini melibatkan pula kantor Kementerian Agama. Untuk prosedur pendaftaran haji regular, hal pertama yang nasabah lakukan adalah mendaftarkan diri secara administrasi ke kantor Kementerian Agama sebagai jamaah haji. Sementara untuk prosedur pelunasan BPIH regular, nasabah langsung mengunjungi Bank Syariah Mandiri Area Bgor. Nasabah mengunjungi bagian </w:t>
      </w:r>
      <w:r>
        <w:rPr>
          <w:rFonts w:ascii="Arial" w:hAnsi="Arial" w:cs="Arial"/>
          <w:i/>
          <w:lang w:val="en-ID"/>
        </w:rPr>
        <w:t xml:space="preserve">Customer Service </w:t>
      </w:r>
      <w:r>
        <w:rPr>
          <w:rFonts w:ascii="Arial" w:hAnsi="Arial" w:cs="Arial"/>
          <w:lang w:val="en-ID"/>
        </w:rPr>
        <w:t xml:space="preserve">untuk proses pembayaran setoran awal BPIH (Badan Penyelenggara Ibadah Haji). Dalam proses ini juga melibatkan bagian </w:t>
      </w:r>
      <w:r>
        <w:rPr>
          <w:rFonts w:ascii="Arial" w:hAnsi="Arial" w:cs="Arial"/>
          <w:i/>
          <w:lang w:val="en-ID"/>
        </w:rPr>
        <w:t xml:space="preserve">Teller </w:t>
      </w:r>
      <w:r>
        <w:rPr>
          <w:rFonts w:ascii="Arial" w:hAnsi="Arial" w:cs="Arial"/>
          <w:lang w:val="en-ID"/>
        </w:rPr>
        <w:t xml:space="preserve">untuk prosedur pelunasan BPIH regular, sebelum melakukan pendebetan, </w:t>
      </w:r>
      <w:r>
        <w:rPr>
          <w:rFonts w:ascii="Arial" w:hAnsi="Arial" w:cs="Arial"/>
          <w:i/>
          <w:lang w:val="en-ID"/>
        </w:rPr>
        <w:t xml:space="preserve">Customer Service </w:t>
      </w:r>
      <w:r>
        <w:rPr>
          <w:rFonts w:ascii="Arial" w:hAnsi="Arial" w:cs="Arial"/>
          <w:lang w:val="en-ID"/>
        </w:rPr>
        <w:t xml:space="preserve">bersama nasabah akan melakukan pengecekan kurs dan menghitung jumlah nominal pelunasan. </w:t>
      </w:r>
    </w:p>
    <w:p w:rsidR="004D789C" w:rsidRDefault="004D789C" w:rsidP="00734473">
      <w:pPr>
        <w:pStyle w:val="ListParagraph"/>
        <w:numPr>
          <w:ilvl w:val="0"/>
          <w:numId w:val="2"/>
        </w:numPr>
        <w:spacing w:line="360" w:lineRule="auto"/>
        <w:rPr>
          <w:rFonts w:ascii="Arial" w:hAnsi="Arial" w:cs="Arial"/>
          <w:lang w:val="en-ID"/>
        </w:rPr>
      </w:pPr>
      <w:r w:rsidRPr="002A7680">
        <w:rPr>
          <w:rFonts w:ascii="Arial" w:hAnsi="Arial" w:cs="Arial"/>
          <w:lang w:val="en-ID"/>
        </w:rPr>
        <w:t>Tingkat pertumbuhan produk tabungan mabrur Bank Syariah Mandiri Area Bogor dari tahun ke tahun semakin meningkat baik jumlah nasabah maupun total saldo rekening tabungan mabrur. Peningkatan jumlah nasabah pada tahu</w:t>
      </w:r>
      <w:r>
        <w:rPr>
          <w:rFonts w:ascii="Arial" w:hAnsi="Arial" w:cs="Arial"/>
          <w:lang w:val="en-ID"/>
        </w:rPr>
        <w:t>n 2018 sebesar 27,51% dan tahun 2019 sebesar 30,31% sedangkan peningkatan total saldo rekening mabrur pada tahun 2018 sebesar 18,14% dan tahun 2019 24,16%.</w:t>
      </w:r>
    </w:p>
    <w:p w:rsidR="004D789C" w:rsidRDefault="004D789C" w:rsidP="00BB2436">
      <w:pPr>
        <w:pStyle w:val="ListParagraph"/>
        <w:numPr>
          <w:ilvl w:val="0"/>
          <w:numId w:val="2"/>
        </w:numPr>
        <w:spacing w:line="360" w:lineRule="auto"/>
        <w:rPr>
          <w:rFonts w:ascii="Arial" w:hAnsi="Arial" w:cs="Arial"/>
          <w:lang w:val="en-ID"/>
        </w:rPr>
      </w:pPr>
      <w:r>
        <w:rPr>
          <w:rFonts w:ascii="Arial" w:hAnsi="Arial" w:cs="Arial"/>
          <w:lang w:val="en-ID"/>
        </w:rPr>
        <w:t xml:space="preserve">Seperti produk perbankan pada umumnya, produk tabungan mabrur memiliki kelebihan dan kekurangan. Adapun kelebihan yang dimiliki produk tabungan mabrur antara lain </w:t>
      </w:r>
      <w:r>
        <w:rPr>
          <w:rFonts w:ascii="Arial" w:hAnsi="Arial" w:cs="Arial"/>
          <w:i/>
          <w:lang w:val="en-ID"/>
        </w:rPr>
        <w:t xml:space="preserve">online </w:t>
      </w:r>
      <w:r>
        <w:rPr>
          <w:rFonts w:ascii="Arial" w:hAnsi="Arial" w:cs="Arial"/>
          <w:lang w:val="en-ID"/>
        </w:rPr>
        <w:t>dengan SISKOHAT sehingga mempermudah pendaftaran haji nasabah, bebas dari biaya administrasi bulanan, produk tabungan mabrur menggunakan prinsip yang berbasis syariah, setoran awal dan setoran selanjutnya terbilang rendah, nasabah tabungan mabrur akan mendapatkan bagi hasil atas uang yang ditabungkannya serta jika terjadi pembatalan uang yang terdapat dalam rekening tabungan mabrur dapat diambil kembali. Sedangkan, kekurangan dari produk tabungan mabrur adalah tidak memperoleh fasilitas ATM, a</w:t>
      </w:r>
      <w:r w:rsidR="00BB2436">
        <w:rPr>
          <w:rFonts w:ascii="Arial" w:hAnsi="Arial" w:cs="Arial"/>
          <w:lang w:val="en-ID"/>
        </w:rPr>
        <w:t>danya biaya penutupan rekening.</w:t>
      </w:r>
    </w:p>
    <w:p w:rsidR="00BB2436" w:rsidRPr="00BB2436" w:rsidRDefault="00BB2436" w:rsidP="00BB2436">
      <w:pPr>
        <w:spacing w:line="360" w:lineRule="auto"/>
        <w:rPr>
          <w:rFonts w:ascii="Arial" w:hAnsi="Arial" w:cs="Arial"/>
          <w:lang w:val="en-ID"/>
        </w:rPr>
      </w:pPr>
    </w:p>
    <w:p w:rsidR="004D789C" w:rsidRPr="004D789C" w:rsidRDefault="004D789C" w:rsidP="00734473">
      <w:pPr>
        <w:pStyle w:val="ListParagraph"/>
        <w:numPr>
          <w:ilvl w:val="1"/>
          <w:numId w:val="3"/>
        </w:numPr>
        <w:spacing w:line="360" w:lineRule="auto"/>
        <w:ind w:left="851" w:hanging="567"/>
        <w:rPr>
          <w:rFonts w:ascii="Arial" w:hAnsi="Arial" w:cs="Arial"/>
          <w:b/>
          <w:lang w:val="en-ID"/>
        </w:rPr>
      </w:pPr>
      <w:r w:rsidRPr="004D789C">
        <w:rPr>
          <w:rFonts w:ascii="Arial" w:hAnsi="Arial" w:cs="Arial"/>
          <w:b/>
          <w:lang w:val="en-ID"/>
        </w:rPr>
        <w:lastRenderedPageBreak/>
        <w:t xml:space="preserve">Saran </w:t>
      </w:r>
    </w:p>
    <w:p w:rsidR="004D789C" w:rsidRDefault="004D789C" w:rsidP="00734473">
      <w:pPr>
        <w:pStyle w:val="ListParagraph"/>
        <w:spacing w:line="360" w:lineRule="auto"/>
        <w:ind w:left="709" w:firstLine="142"/>
        <w:rPr>
          <w:rFonts w:ascii="Arial" w:hAnsi="Arial" w:cs="Arial"/>
          <w:lang w:val="en-ID"/>
        </w:rPr>
      </w:pPr>
      <w:r>
        <w:rPr>
          <w:rFonts w:ascii="Arial" w:hAnsi="Arial" w:cs="Arial"/>
          <w:lang w:val="en-ID"/>
        </w:rPr>
        <w:t xml:space="preserve">Bank Syariah Mandiri Area Bogor lebih meningkatkan pelayanan kepada nasabah </w:t>
      </w:r>
      <w:bookmarkStart w:id="0" w:name="_GoBack"/>
      <w:bookmarkEnd w:id="0"/>
      <w:r>
        <w:rPr>
          <w:rFonts w:ascii="Arial" w:hAnsi="Arial" w:cs="Arial"/>
          <w:lang w:val="en-ID"/>
        </w:rPr>
        <w:t xml:space="preserve">agar tingkat pertumbuhan tabungan mabrur semakin meningkat. </w:t>
      </w:r>
    </w:p>
    <w:p w:rsidR="00E1387B" w:rsidRDefault="00E1387B" w:rsidP="00734473">
      <w:pPr>
        <w:pStyle w:val="ListParagraph"/>
        <w:spacing w:line="360" w:lineRule="auto"/>
        <w:ind w:left="709" w:firstLine="142"/>
        <w:rPr>
          <w:rFonts w:ascii="Arial" w:hAnsi="Arial" w:cs="Arial"/>
          <w:i/>
          <w:lang w:val="en-ID"/>
        </w:rPr>
      </w:pPr>
      <w:r>
        <w:rPr>
          <w:rFonts w:ascii="Arial" w:hAnsi="Arial" w:cs="Arial"/>
          <w:lang w:val="en-ID"/>
        </w:rPr>
        <w:t xml:space="preserve">Persyaratan-persyaratan harus lebih fleksibel, sehingga pengusaha kecil dan baru bisa mendapatkan fasilitas pembiayaan </w:t>
      </w:r>
      <w:r>
        <w:rPr>
          <w:rFonts w:ascii="Arial" w:hAnsi="Arial" w:cs="Arial"/>
          <w:i/>
          <w:lang w:val="en-ID"/>
        </w:rPr>
        <w:t>murabahah.</w:t>
      </w:r>
    </w:p>
    <w:p w:rsidR="00E1387B" w:rsidRDefault="00E1387B" w:rsidP="00734473">
      <w:pPr>
        <w:pStyle w:val="ListParagraph"/>
        <w:spacing w:line="360" w:lineRule="auto"/>
        <w:ind w:left="709" w:firstLine="142"/>
        <w:rPr>
          <w:rFonts w:ascii="Arial" w:hAnsi="Arial" w:cs="Arial"/>
          <w:lang w:val="en-ID"/>
        </w:rPr>
      </w:pPr>
      <w:r>
        <w:rPr>
          <w:rFonts w:ascii="Arial" w:hAnsi="Arial" w:cs="Arial"/>
          <w:lang w:val="en-ID"/>
        </w:rPr>
        <w:t>Bank Syariah Mandiri harus mampu mengembangkan produk yang dapat mencakup kebutuhan masyarakat. Sehingga melalu produk-produk tersebut Bank Syariah Mandiri dapat menjalin kerjasama dengan calon nasabah dengan ruang lingkup yang luas.</w:t>
      </w:r>
    </w:p>
    <w:p w:rsidR="003D7E3B" w:rsidRDefault="003D7E3B" w:rsidP="00734473">
      <w:pPr>
        <w:pStyle w:val="ListParagraph"/>
        <w:spacing w:line="360" w:lineRule="auto"/>
        <w:ind w:left="709" w:firstLine="142"/>
        <w:rPr>
          <w:rFonts w:ascii="Arial" w:hAnsi="Arial" w:cs="Arial"/>
          <w:lang w:val="en-ID"/>
        </w:rPr>
      </w:pPr>
      <w:r>
        <w:rPr>
          <w:rFonts w:ascii="Arial" w:hAnsi="Arial" w:cs="Arial"/>
          <w:lang w:val="en-ID"/>
        </w:rPr>
        <w:t xml:space="preserve">Bank Syariah Mandiri bagian Teller seharus nya pelayanannya lebih cepat agar nasabah tidak terlalu lama menunggu. </w:t>
      </w:r>
    </w:p>
    <w:p w:rsidR="003D7E3B" w:rsidRDefault="003D7E3B" w:rsidP="00734473">
      <w:pPr>
        <w:pStyle w:val="ListParagraph"/>
        <w:spacing w:line="360" w:lineRule="auto"/>
        <w:ind w:left="709" w:firstLine="142"/>
        <w:rPr>
          <w:rFonts w:ascii="Arial" w:hAnsi="Arial" w:cs="Arial"/>
          <w:lang w:val="en-ID"/>
        </w:rPr>
      </w:pPr>
    </w:p>
    <w:p w:rsidR="00E1387B" w:rsidRPr="00E1387B" w:rsidRDefault="00E1387B" w:rsidP="00734473">
      <w:pPr>
        <w:pStyle w:val="ListParagraph"/>
        <w:spacing w:line="360" w:lineRule="auto"/>
        <w:ind w:left="709" w:firstLine="142"/>
        <w:rPr>
          <w:rFonts w:ascii="Arial" w:hAnsi="Arial" w:cs="Arial"/>
          <w:lang w:val="en-ID"/>
        </w:rPr>
      </w:pPr>
    </w:p>
    <w:p w:rsidR="004D789C" w:rsidRPr="00772E2A" w:rsidRDefault="004D789C" w:rsidP="00734473">
      <w:pPr>
        <w:pStyle w:val="ListParagraph"/>
        <w:spacing w:line="360" w:lineRule="auto"/>
        <w:ind w:left="1648"/>
        <w:rPr>
          <w:rFonts w:ascii="Arial" w:hAnsi="Arial" w:cs="Arial"/>
          <w:b/>
          <w:lang w:val="en-ID"/>
        </w:rPr>
      </w:pPr>
    </w:p>
    <w:p w:rsidR="004D789C" w:rsidRPr="00230CFC" w:rsidRDefault="004D789C" w:rsidP="00734473">
      <w:pPr>
        <w:pStyle w:val="ListParagraph"/>
        <w:spacing w:line="360" w:lineRule="auto"/>
        <w:ind w:left="1648"/>
        <w:rPr>
          <w:rFonts w:ascii="Arial" w:hAnsi="Arial" w:cs="Arial"/>
          <w:b/>
          <w:lang w:val="en-ID"/>
        </w:rPr>
      </w:pPr>
    </w:p>
    <w:p w:rsidR="004D789C" w:rsidRPr="00054A73" w:rsidRDefault="004D789C" w:rsidP="00734473">
      <w:pPr>
        <w:pStyle w:val="ListParagraph"/>
        <w:spacing w:line="360" w:lineRule="auto"/>
        <w:ind w:left="1932"/>
        <w:rPr>
          <w:rFonts w:ascii="Arial" w:hAnsi="Arial" w:cs="Arial"/>
          <w:b/>
          <w:sz w:val="24"/>
          <w:szCs w:val="24"/>
          <w:lang w:val="en-ID"/>
        </w:rPr>
      </w:pPr>
    </w:p>
    <w:p w:rsidR="004D789C" w:rsidRDefault="004D789C" w:rsidP="00734473">
      <w:pPr>
        <w:pStyle w:val="ListParagraph"/>
        <w:spacing w:line="360" w:lineRule="auto"/>
        <w:ind w:left="851" w:firstLine="283"/>
        <w:rPr>
          <w:rFonts w:ascii="Arial" w:hAnsi="Arial" w:cs="Arial"/>
          <w:lang w:val="en-ID"/>
        </w:rPr>
      </w:pPr>
    </w:p>
    <w:p w:rsidR="004D789C" w:rsidRPr="006522C4" w:rsidRDefault="004D789C" w:rsidP="00734473">
      <w:pPr>
        <w:spacing w:line="360" w:lineRule="auto"/>
        <w:rPr>
          <w:rFonts w:ascii="Arial" w:hAnsi="Arial" w:cs="Arial"/>
          <w:lang w:val="en-ID"/>
        </w:rPr>
      </w:pPr>
    </w:p>
    <w:p w:rsidR="001C613A" w:rsidRDefault="001C613A" w:rsidP="00734473"/>
    <w:sectPr w:rsidR="001C613A" w:rsidSect="00734473">
      <w:headerReference w:type="even" r:id="rId8"/>
      <w:headerReference w:type="default" r:id="rId9"/>
      <w:footerReference w:type="first" r:id="rId10"/>
      <w:pgSz w:w="11906" w:h="16838"/>
      <w:pgMar w:top="1440" w:right="1440" w:bottom="1440" w:left="1440" w:header="708" w:footer="708"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55" w:rsidRDefault="00BA2655" w:rsidP="004D789C">
      <w:pPr>
        <w:spacing w:after="0" w:line="240" w:lineRule="auto"/>
      </w:pPr>
      <w:r>
        <w:separator/>
      </w:r>
    </w:p>
  </w:endnote>
  <w:endnote w:type="continuationSeparator" w:id="0">
    <w:p w:rsidR="00BA2655" w:rsidRDefault="00BA2655" w:rsidP="004D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23799"/>
      <w:docPartObj>
        <w:docPartGallery w:val="Page Numbers (Bottom of Page)"/>
        <w:docPartUnique/>
      </w:docPartObj>
    </w:sdtPr>
    <w:sdtEndPr>
      <w:rPr>
        <w:noProof/>
      </w:rPr>
    </w:sdtEndPr>
    <w:sdtContent>
      <w:p w:rsidR="004D789C" w:rsidRDefault="004D789C">
        <w:pPr>
          <w:pStyle w:val="Footer"/>
          <w:jc w:val="center"/>
        </w:pPr>
        <w:r>
          <w:fldChar w:fldCharType="begin"/>
        </w:r>
        <w:r>
          <w:instrText xml:space="preserve"> PAGE   \* MERGEFORMAT </w:instrText>
        </w:r>
        <w:r>
          <w:fldChar w:fldCharType="separate"/>
        </w:r>
        <w:r w:rsidR="00BB2436">
          <w:rPr>
            <w:noProof/>
          </w:rPr>
          <w:t>46</w:t>
        </w:r>
        <w:r>
          <w:rPr>
            <w:noProof/>
          </w:rPr>
          <w:fldChar w:fldCharType="end"/>
        </w:r>
      </w:p>
    </w:sdtContent>
  </w:sdt>
  <w:p w:rsidR="004D789C" w:rsidRDefault="004D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55" w:rsidRDefault="00BA2655" w:rsidP="004D789C">
      <w:pPr>
        <w:spacing w:after="0" w:line="240" w:lineRule="auto"/>
      </w:pPr>
      <w:r>
        <w:separator/>
      </w:r>
    </w:p>
  </w:footnote>
  <w:footnote w:type="continuationSeparator" w:id="0">
    <w:p w:rsidR="00BA2655" w:rsidRDefault="00BA2655" w:rsidP="004D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0112"/>
      <w:docPartObj>
        <w:docPartGallery w:val="Page Numbers (Top of Page)"/>
        <w:docPartUnique/>
      </w:docPartObj>
    </w:sdtPr>
    <w:sdtEndPr>
      <w:rPr>
        <w:noProof/>
      </w:rPr>
    </w:sdtEndPr>
    <w:sdtContent>
      <w:p w:rsidR="004D789C" w:rsidRDefault="004D789C">
        <w:pPr>
          <w:pStyle w:val="Header"/>
          <w:jc w:val="right"/>
        </w:pPr>
        <w:r>
          <w:fldChar w:fldCharType="begin"/>
        </w:r>
        <w:r>
          <w:instrText xml:space="preserve"> PAGE   \* MERGEFORMAT </w:instrText>
        </w:r>
        <w:r>
          <w:fldChar w:fldCharType="separate"/>
        </w:r>
        <w:r w:rsidR="00734473">
          <w:rPr>
            <w:noProof/>
          </w:rPr>
          <w:t>48</w:t>
        </w:r>
        <w:r>
          <w:rPr>
            <w:noProof/>
          </w:rPr>
          <w:fldChar w:fldCharType="end"/>
        </w:r>
      </w:p>
    </w:sdtContent>
  </w:sdt>
  <w:p w:rsidR="004D789C" w:rsidRDefault="004D7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36" w:rsidRDefault="00BB2436" w:rsidP="00BB2436">
    <w:pPr>
      <w:pStyle w:val="Header"/>
      <w:jc w:val="right"/>
    </w:pPr>
    <w:r>
      <w:t>47</w:t>
    </w:r>
  </w:p>
  <w:p w:rsidR="00BB2436" w:rsidRDefault="00BB2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AD2"/>
    <w:multiLevelType w:val="multilevel"/>
    <w:tmpl w:val="9252FFE6"/>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5B062CB3"/>
    <w:multiLevelType w:val="multilevel"/>
    <w:tmpl w:val="CC7A0A34"/>
    <w:lvl w:ilvl="0">
      <w:start w:val="1"/>
      <w:numFmt w:val="decimal"/>
      <w:lvlText w:val="%1."/>
      <w:lvlJc w:val="left"/>
      <w:pPr>
        <w:ind w:left="1636" w:hanging="360"/>
      </w:pPr>
      <w:rPr>
        <w:rFonts w:hint="default"/>
      </w:rPr>
    </w:lvl>
    <w:lvl w:ilvl="1">
      <w:start w:val="1"/>
      <w:numFmt w:val="decimal"/>
      <w:isLgl/>
      <w:lvlText w:val="%1.%2"/>
      <w:lvlJc w:val="left"/>
      <w:pPr>
        <w:ind w:left="1648" w:hanging="372"/>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15:restartNumberingAfterBreak="0">
    <w:nsid w:val="75EF26AA"/>
    <w:multiLevelType w:val="hybridMultilevel"/>
    <w:tmpl w:val="92FE9412"/>
    <w:lvl w:ilvl="0" w:tplc="7E2A7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9C"/>
    <w:rsid w:val="00036EF2"/>
    <w:rsid w:val="000A2A24"/>
    <w:rsid w:val="001C613A"/>
    <w:rsid w:val="003D7E3B"/>
    <w:rsid w:val="004D789C"/>
    <w:rsid w:val="00734473"/>
    <w:rsid w:val="0086667F"/>
    <w:rsid w:val="00BA2655"/>
    <w:rsid w:val="00BB2436"/>
    <w:rsid w:val="00E138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6BE"/>
  <w15:docId w15:val="{4FDFE491-59D0-4D33-88E7-F49DE3C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9C"/>
    <w:pPr>
      <w:ind w:left="720"/>
      <w:contextualSpacing/>
    </w:pPr>
  </w:style>
  <w:style w:type="paragraph" w:styleId="Header">
    <w:name w:val="header"/>
    <w:basedOn w:val="Normal"/>
    <w:link w:val="HeaderChar"/>
    <w:uiPriority w:val="99"/>
    <w:unhideWhenUsed/>
    <w:rsid w:val="004D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89C"/>
    <w:rPr>
      <w:lang w:val="en-US"/>
    </w:rPr>
  </w:style>
  <w:style w:type="paragraph" w:styleId="Footer">
    <w:name w:val="footer"/>
    <w:basedOn w:val="Normal"/>
    <w:link w:val="FooterChar"/>
    <w:uiPriority w:val="99"/>
    <w:unhideWhenUsed/>
    <w:rsid w:val="004D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8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B8E1-6FFC-4244-80DA-E2AF07E2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BPH-KESATUAN</dc:creator>
  <cp:lastModifiedBy>Setting 1</cp:lastModifiedBy>
  <cp:revision>8</cp:revision>
  <cp:lastPrinted>2019-09-19T02:41:00Z</cp:lastPrinted>
  <dcterms:created xsi:type="dcterms:W3CDTF">2019-07-29T05:45:00Z</dcterms:created>
  <dcterms:modified xsi:type="dcterms:W3CDTF">2019-09-19T02:41:00Z</dcterms:modified>
</cp:coreProperties>
</file>