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10" w:rsidRPr="00E27DC2" w:rsidRDefault="00072610" w:rsidP="00072610">
      <w:pPr>
        <w:spacing w:after="0" w:line="360" w:lineRule="auto"/>
        <w:jc w:val="center"/>
        <w:rPr>
          <w:rFonts w:ascii="Arial" w:hAnsi="Arial" w:cs="Arial"/>
          <w:b/>
          <w:sz w:val="28"/>
        </w:rPr>
      </w:pPr>
      <w:r w:rsidRPr="00E27DC2">
        <w:rPr>
          <w:rFonts w:ascii="Arial" w:hAnsi="Arial" w:cs="Arial"/>
          <w:b/>
          <w:sz w:val="28"/>
        </w:rPr>
        <w:t>BAB IV</w:t>
      </w:r>
    </w:p>
    <w:p w:rsidR="00072610" w:rsidRPr="00E27DC2" w:rsidRDefault="00072610" w:rsidP="00072610">
      <w:pPr>
        <w:spacing w:after="0" w:line="720" w:lineRule="auto"/>
        <w:jc w:val="center"/>
        <w:rPr>
          <w:rFonts w:ascii="Arial" w:hAnsi="Arial" w:cs="Arial"/>
          <w:b/>
          <w:sz w:val="28"/>
        </w:rPr>
      </w:pPr>
      <w:r w:rsidRPr="00E27DC2">
        <w:rPr>
          <w:rFonts w:ascii="Arial" w:hAnsi="Arial" w:cs="Arial"/>
          <w:b/>
          <w:sz w:val="28"/>
        </w:rPr>
        <w:t>PENUTUP</w:t>
      </w:r>
    </w:p>
    <w:p w:rsidR="00072610" w:rsidRPr="008073FC" w:rsidRDefault="00072610" w:rsidP="00072610">
      <w:pPr>
        <w:spacing w:after="0" w:line="360" w:lineRule="auto"/>
        <w:jc w:val="both"/>
        <w:rPr>
          <w:rFonts w:ascii="Arial" w:hAnsi="Arial" w:cs="Arial"/>
          <w:b/>
          <w:sz w:val="24"/>
          <w:szCs w:val="24"/>
        </w:rPr>
      </w:pPr>
      <w:r w:rsidRPr="008073FC">
        <w:rPr>
          <w:rFonts w:ascii="Arial" w:hAnsi="Arial" w:cs="Arial"/>
          <w:b/>
          <w:sz w:val="24"/>
          <w:szCs w:val="24"/>
        </w:rPr>
        <w:t>4.1</w:t>
      </w:r>
      <w:r w:rsidRPr="008073FC">
        <w:rPr>
          <w:rFonts w:ascii="Arial" w:hAnsi="Arial" w:cs="Arial"/>
          <w:b/>
          <w:sz w:val="24"/>
          <w:szCs w:val="24"/>
        </w:rPr>
        <w:tab/>
        <w:t>Kesimpulan</w:t>
      </w:r>
    </w:p>
    <w:p w:rsidR="00072610" w:rsidRDefault="00072610" w:rsidP="00072610">
      <w:pPr>
        <w:spacing w:after="0" w:line="360" w:lineRule="auto"/>
        <w:jc w:val="both"/>
        <w:rPr>
          <w:rFonts w:ascii="Arial" w:hAnsi="Arial" w:cs="Arial"/>
        </w:rPr>
      </w:pPr>
      <w:r>
        <w:rPr>
          <w:rFonts w:ascii="Arial" w:hAnsi="Arial" w:cs="Arial"/>
          <w:b/>
        </w:rPr>
        <w:tab/>
      </w:r>
      <w:r w:rsidRPr="00EA1142">
        <w:rPr>
          <w:rFonts w:ascii="Arial" w:hAnsi="Arial" w:cs="Arial"/>
        </w:rPr>
        <w:t xml:space="preserve">Bank syariah adalah </w:t>
      </w:r>
      <w:r>
        <w:rPr>
          <w:rFonts w:ascii="Arial" w:hAnsi="Arial" w:cs="Arial"/>
        </w:rPr>
        <w:t>lembaga keuangan  yang bertujuan untuk mempromosikan dan mengembangkan penerapan prinsip-prinsip Islam, syariah dan tradisinya kedalam transaksi keuangan dan perbankan serta bisnis lain yang terkait. Di dalam bank syariah melakukan kegiatan usaha dan perdagangan berdasarkan perolehan keuntungan yang sah, memberikan zakat dan melarang adanya riba dalam bentuk transaksi. Gadai adalah perjanjian utang piutang dengan adanya kepercayaan  antara pihak yang berutang dan pihak yang memberikan utang, dimana pihak yang memberikan utang berhak atas barang yang dijaminkan oleh pihak yang berutang.</w:t>
      </w:r>
    </w:p>
    <w:p w:rsidR="00072610" w:rsidRDefault="00072610" w:rsidP="00072610">
      <w:pPr>
        <w:spacing w:after="0" w:line="360" w:lineRule="auto"/>
        <w:jc w:val="both"/>
        <w:rPr>
          <w:rFonts w:ascii="Arial" w:hAnsi="Arial" w:cs="Arial"/>
        </w:rPr>
      </w:pPr>
      <w:r>
        <w:rPr>
          <w:rFonts w:ascii="Arial" w:hAnsi="Arial" w:cs="Arial"/>
        </w:rPr>
        <w:tab/>
        <w:t>Berdasarkan pembahasan pada setiap bab sebelumnya, penulis dapat menyimpulkan inti dari penulisan makalah ini. Berikut penjabaran kesimpulan dari penulisan makalah ini;</w:t>
      </w:r>
    </w:p>
    <w:p w:rsidR="00072610" w:rsidRDefault="00072610" w:rsidP="00072610">
      <w:pPr>
        <w:pStyle w:val="ListParagraph"/>
        <w:numPr>
          <w:ilvl w:val="0"/>
          <w:numId w:val="1"/>
        </w:numPr>
        <w:spacing w:after="0" w:line="360" w:lineRule="auto"/>
        <w:ind w:left="426" w:hanging="426"/>
        <w:jc w:val="both"/>
        <w:rPr>
          <w:rFonts w:ascii="Arial" w:hAnsi="Arial" w:cs="Arial"/>
        </w:rPr>
      </w:pPr>
      <w:r>
        <w:rPr>
          <w:rFonts w:ascii="Arial" w:hAnsi="Arial" w:cs="Arial"/>
        </w:rPr>
        <w:t xml:space="preserve">Sistem pembiayaan berdasarkan akad </w:t>
      </w:r>
      <w:r w:rsidRPr="00C83B01">
        <w:rPr>
          <w:rFonts w:ascii="Arial" w:hAnsi="Arial" w:cs="Arial"/>
          <w:i/>
        </w:rPr>
        <w:t xml:space="preserve">rahn </w:t>
      </w:r>
      <w:r>
        <w:rPr>
          <w:rFonts w:ascii="Arial" w:hAnsi="Arial" w:cs="Arial"/>
        </w:rPr>
        <w:t>telah sesuai dengan syariat islam yang sudah diketahui dari awal bentuk transaksi gadai dengan adanya perhitungan banyaknya pembiayaan yang dapat diberikan dan perhitungan biaya administrasi yang jelas.</w:t>
      </w:r>
    </w:p>
    <w:p w:rsidR="00072610" w:rsidRDefault="00072610" w:rsidP="00072610">
      <w:pPr>
        <w:pStyle w:val="ListParagraph"/>
        <w:numPr>
          <w:ilvl w:val="0"/>
          <w:numId w:val="1"/>
        </w:numPr>
        <w:spacing w:after="0" w:line="360" w:lineRule="auto"/>
        <w:ind w:left="426" w:hanging="426"/>
        <w:jc w:val="both"/>
        <w:rPr>
          <w:rFonts w:ascii="Arial" w:hAnsi="Arial" w:cs="Arial"/>
        </w:rPr>
      </w:pPr>
      <w:r w:rsidRPr="002A738A">
        <w:rPr>
          <w:rFonts w:ascii="Arial" w:hAnsi="Arial" w:cs="Arial"/>
        </w:rPr>
        <w:t>Prosedur dalam pemberian pembiayaan gadai emas mudah, tidak berbelit belit. Sehingga memudahkan calon nasabah dalam melakukan pembiayaan gadai emas.</w:t>
      </w:r>
    </w:p>
    <w:p w:rsidR="00072610" w:rsidRDefault="00072610" w:rsidP="00072610">
      <w:pPr>
        <w:pStyle w:val="ListParagraph"/>
        <w:numPr>
          <w:ilvl w:val="0"/>
          <w:numId w:val="1"/>
        </w:numPr>
        <w:spacing w:after="0" w:line="360" w:lineRule="auto"/>
        <w:ind w:left="426" w:hanging="426"/>
        <w:jc w:val="both"/>
        <w:rPr>
          <w:rFonts w:ascii="Arial" w:hAnsi="Arial" w:cs="Arial"/>
        </w:rPr>
      </w:pPr>
      <w:r>
        <w:rPr>
          <w:rFonts w:ascii="Arial" w:hAnsi="Arial" w:cs="Arial"/>
        </w:rPr>
        <w:t>Persyaratan dalam pengajuan gadai emas mudah dipenuhi oleh nasabah.</w:t>
      </w:r>
    </w:p>
    <w:p w:rsidR="00072610" w:rsidRDefault="00072610" w:rsidP="00072610">
      <w:pPr>
        <w:spacing w:after="0" w:line="360" w:lineRule="auto"/>
        <w:jc w:val="both"/>
        <w:rPr>
          <w:rFonts w:ascii="Arial" w:hAnsi="Arial" w:cs="Arial"/>
        </w:rPr>
      </w:pPr>
    </w:p>
    <w:p w:rsidR="00072610" w:rsidRDefault="00072610" w:rsidP="00072610">
      <w:pPr>
        <w:spacing w:after="0" w:line="360" w:lineRule="auto"/>
        <w:jc w:val="both"/>
        <w:rPr>
          <w:rFonts w:ascii="Arial" w:hAnsi="Arial" w:cs="Arial"/>
        </w:rPr>
      </w:pPr>
    </w:p>
    <w:p w:rsidR="00072610" w:rsidRPr="008073FC" w:rsidRDefault="00072610" w:rsidP="00072610">
      <w:pPr>
        <w:spacing w:after="0" w:line="360" w:lineRule="auto"/>
        <w:jc w:val="both"/>
        <w:rPr>
          <w:rFonts w:ascii="Arial" w:hAnsi="Arial" w:cs="Arial"/>
          <w:sz w:val="24"/>
          <w:szCs w:val="24"/>
        </w:rPr>
      </w:pPr>
      <w:r w:rsidRPr="008073FC">
        <w:rPr>
          <w:rFonts w:ascii="Arial" w:hAnsi="Arial" w:cs="Arial"/>
          <w:b/>
          <w:sz w:val="24"/>
          <w:szCs w:val="24"/>
        </w:rPr>
        <w:t>4.2</w:t>
      </w:r>
      <w:r w:rsidRPr="008073FC">
        <w:rPr>
          <w:rFonts w:ascii="Arial" w:hAnsi="Arial" w:cs="Arial"/>
          <w:sz w:val="24"/>
          <w:szCs w:val="24"/>
        </w:rPr>
        <w:tab/>
      </w:r>
      <w:r w:rsidRPr="008073FC">
        <w:rPr>
          <w:rFonts w:ascii="Arial" w:hAnsi="Arial" w:cs="Arial"/>
          <w:b/>
          <w:sz w:val="24"/>
          <w:szCs w:val="24"/>
        </w:rPr>
        <w:t>Saran</w:t>
      </w:r>
    </w:p>
    <w:p w:rsidR="00072610" w:rsidRDefault="00072610" w:rsidP="00072610">
      <w:pPr>
        <w:pStyle w:val="ListParagraph"/>
        <w:spacing w:after="0" w:line="360" w:lineRule="auto"/>
        <w:ind w:left="0" w:firstLine="720"/>
        <w:jc w:val="both"/>
        <w:rPr>
          <w:rFonts w:ascii="Arial" w:hAnsi="Arial" w:cs="Arial"/>
        </w:rPr>
      </w:pPr>
      <w:r>
        <w:rPr>
          <w:rFonts w:ascii="Arial" w:hAnsi="Arial" w:cs="Arial"/>
        </w:rPr>
        <w:t xml:space="preserve">Dari prosedur pembiayaan gadai emas menggunakan akad </w:t>
      </w:r>
      <w:r w:rsidRPr="002A738A">
        <w:rPr>
          <w:rFonts w:ascii="Arial" w:hAnsi="Arial" w:cs="Arial"/>
          <w:i/>
        </w:rPr>
        <w:t>rahn</w:t>
      </w:r>
      <w:r>
        <w:rPr>
          <w:rFonts w:ascii="Arial" w:hAnsi="Arial" w:cs="Arial"/>
          <w:i/>
        </w:rPr>
        <w:t xml:space="preserve"> </w:t>
      </w:r>
      <w:r>
        <w:rPr>
          <w:rFonts w:ascii="Arial" w:hAnsi="Arial" w:cs="Arial"/>
        </w:rPr>
        <w:t xml:space="preserve">dari Bank Syariah Mandiri maka penulis memberi saran yaitu, </w:t>
      </w:r>
    </w:p>
    <w:p w:rsidR="00072610" w:rsidRPr="00C438C7" w:rsidRDefault="00072610" w:rsidP="00072610">
      <w:pPr>
        <w:pStyle w:val="ListParagraph"/>
        <w:numPr>
          <w:ilvl w:val="0"/>
          <w:numId w:val="2"/>
        </w:numPr>
        <w:spacing w:after="0" w:line="360" w:lineRule="auto"/>
        <w:jc w:val="both"/>
        <w:rPr>
          <w:rFonts w:ascii="Arial" w:hAnsi="Arial" w:cs="Arial"/>
          <w:b/>
        </w:rPr>
      </w:pPr>
      <w:r w:rsidRPr="002A738A">
        <w:rPr>
          <w:rFonts w:ascii="Arial" w:hAnsi="Arial" w:cs="Arial"/>
        </w:rPr>
        <w:t xml:space="preserve">Prosedur pembiayaan gadai emas sudah cukup baik untuk nasabah yang ingin berinvestasi. </w:t>
      </w:r>
      <w:r w:rsidRPr="002A738A">
        <w:rPr>
          <w:rFonts w:ascii="Arial" w:hAnsi="Arial" w:cs="Arial"/>
          <w:b/>
        </w:rPr>
        <w:t xml:space="preserve"> </w:t>
      </w:r>
      <w:r w:rsidRPr="002A738A">
        <w:rPr>
          <w:rFonts w:ascii="Arial" w:hAnsi="Arial" w:cs="Arial"/>
        </w:rPr>
        <w:t xml:space="preserve">Sebaiknya </w:t>
      </w:r>
      <w:r>
        <w:rPr>
          <w:rFonts w:ascii="Arial" w:hAnsi="Arial" w:cs="Arial"/>
        </w:rPr>
        <w:t xml:space="preserve">lebih teliti lagi dalam melengkapi persyaratan dokumen nasabah gadai emas. </w:t>
      </w:r>
    </w:p>
    <w:p w:rsidR="00072610" w:rsidRDefault="00072610" w:rsidP="00072610">
      <w:pPr>
        <w:pStyle w:val="ListParagraph"/>
        <w:spacing w:after="0" w:line="360" w:lineRule="auto"/>
        <w:ind w:left="360"/>
        <w:jc w:val="both"/>
        <w:rPr>
          <w:rFonts w:ascii="Arial" w:hAnsi="Arial" w:cs="Arial"/>
          <w:b/>
        </w:rPr>
      </w:pPr>
    </w:p>
    <w:p w:rsidR="00072610" w:rsidRPr="002A738A" w:rsidRDefault="00072610" w:rsidP="00072610">
      <w:pPr>
        <w:pStyle w:val="ListParagraph"/>
        <w:spacing w:after="0" w:line="360" w:lineRule="auto"/>
        <w:ind w:left="360"/>
        <w:jc w:val="both"/>
        <w:rPr>
          <w:rFonts w:ascii="Arial" w:hAnsi="Arial" w:cs="Arial"/>
          <w:b/>
        </w:rPr>
      </w:pPr>
    </w:p>
    <w:p w:rsidR="00072610" w:rsidRPr="002A738A" w:rsidRDefault="00072610" w:rsidP="00072610">
      <w:pPr>
        <w:pStyle w:val="ListParagraph"/>
        <w:numPr>
          <w:ilvl w:val="0"/>
          <w:numId w:val="2"/>
        </w:numPr>
        <w:spacing w:after="0" w:line="360" w:lineRule="auto"/>
        <w:jc w:val="both"/>
        <w:rPr>
          <w:rFonts w:ascii="Arial" w:hAnsi="Arial" w:cs="Arial"/>
          <w:b/>
        </w:rPr>
      </w:pPr>
      <w:r w:rsidRPr="002A738A">
        <w:rPr>
          <w:rFonts w:ascii="Arial" w:hAnsi="Arial" w:cs="Arial"/>
        </w:rPr>
        <w:lastRenderedPageBreak/>
        <w:t>Promosi yang dilakukan sudah cukup bagus, namun karena produk gadai emas BSM ini masih baru perlu tindakan promosi yang lebih baik lagi kedepannya untuk memperkenalkan produk ini kepada masyarakat luas.</w:t>
      </w:r>
    </w:p>
    <w:p w:rsidR="00072610" w:rsidRDefault="00072610" w:rsidP="00072610">
      <w:pPr>
        <w:spacing w:line="360" w:lineRule="auto"/>
        <w:rPr>
          <w:rFonts w:ascii="Arial" w:hAnsi="Arial" w:cs="Arial"/>
          <w:b/>
          <w:bCs/>
          <w:color w:val="000000"/>
          <w:sz w:val="24"/>
          <w:szCs w:val="24"/>
        </w:rPr>
      </w:pPr>
    </w:p>
    <w:p w:rsidR="00072610" w:rsidRDefault="00072610" w:rsidP="00072610">
      <w:pPr>
        <w:spacing w:line="360" w:lineRule="auto"/>
        <w:rPr>
          <w:rFonts w:ascii="Arial" w:hAnsi="Arial" w:cs="Arial"/>
          <w:b/>
          <w:bCs/>
          <w:color w:val="000000"/>
          <w:sz w:val="24"/>
          <w:szCs w:val="24"/>
        </w:rPr>
      </w:pPr>
    </w:p>
    <w:p w:rsidR="00072610" w:rsidRDefault="00072610" w:rsidP="00072610">
      <w:pPr>
        <w:spacing w:line="360" w:lineRule="auto"/>
        <w:rPr>
          <w:rFonts w:ascii="Arial" w:hAnsi="Arial" w:cs="Arial"/>
          <w:b/>
          <w:bCs/>
          <w:color w:val="000000"/>
          <w:sz w:val="24"/>
          <w:szCs w:val="24"/>
        </w:rPr>
      </w:pPr>
    </w:p>
    <w:p w:rsidR="00824E68" w:rsidRDefault="00824E68">
      <w:bookmarkStart w:id="0" w:name="_GoBack"/>
      <w:bookmarkEnd w:id="0"/>
    </w:p>
    <w:sectPr w:rsidR="00824E68" w:rsidSect="00072610">
      <w:footerReference w:type="default" r:id="rId8"/>
      <w:pgSz w:w="11906" w:h="16838"/>
      <w:pgMar w:top="1701" w:right="1701" w:bottom="1701" w:left="2268" w:header="708" w:footer="708" w:gutter="0"/>
      <w:pgNumType w:start="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73" w:rsidRDefault="00F16E73" w:rsidP="00072610">
      <w:pPr>
        <w:spacing w:after="0" w:line="240" w:lineRule="auto"/>
      </w:pPr>
      <w:r>
        <w:separator/>
      </w:r>
    </w:p>
  </w:endnote>
  <w:endnote w:type="continuationSeparator" w:id="0">
    <w:p w:rsidR="00F16E73" w:rsidRDefault="00F16E73" w:rsidP="0007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599193"/>
      <w:docPartObj>
        <w:docPartGallery w:val="Page Numbers (Bottom of Page)"/>
        <w:docPartUnique/>
      </w:docPartObj>
    </w:sdtPr>
    <w:sdtEndPr>
      <w:rPr>
        <w:noProof/>
      </w:rPr>
    </w:sdtEndPr>
    <w:sdtContent>
      <w:p w:rsidR="00072610" w:rsidRDefault="00072610">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rsidR="00072610" w:rsidRDefault="00072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73" w:rsidRDefault="00F16E73" w:rsidP="00072610">
      <w:pPr>
        <w:spacing w:after="0" w:line="240" w:lineRule="auto"/>
      </w:pPr>
      <w:r>
        <w:separator/>
      </w:r>
    </w:p>
  </w:footnote>
  <w:footnote w:type="continuationSeparator" w:id="0">
    <w:p w:rsidR="00F16E73" w:rsidRDefault="00F16E73" w:rsidP="00072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2810"/>
    <w:multiLevelType w:val="hybridMultilevel"/>
    <w:tmpl w:val="A05A29A6"/>
    <w:lvl w:ilvl="0" w:tplc="65865BBC">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7B9F47F1"/>
    <w:multiLevelType w:val="multilevel"/>
    <w:tmpl w:val="3F843B02"/>
    <w:lvl w:ilvl="0">
      <w:start w:val="1"/>
      <w:numFmt w:val="decimal"/>
      <w:lvlText w:val="%1."/>
      <w:lvlJc w:val="left"/>
      <w:pPr>
        <w:ind w:left="502" w:hanging="360"/>
      </w:pPr>
      <w:rPr>
        <w:rFonts w:hint="default"/>
      </w:rPr>
    </w:lvl>
    <w:lvl w:ilvl="1">
      <w:start w:val="2"/>
      <w:numFmt w:val="decimal"/>
      <w:isLgl/>
      <w:lvlText w:val="%1.%2"/>
      <w:lvlJc w:val="left"/>
      <w:pPr>
        <w:ind w:left="514" w:hanging="372"/>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10"/>
    <w:rsid w:val="00072610"/>
    <w:rsid w:val="00824E68"/>
    <w:rsid w:val="00F16E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10"/>
    <w:pPr>
      <w:ind w:left="720"/>
      <w:contextualSpacing/>
    </w:pPr>
  </w:style>
  <w:style w:type="paragraph" w:styleId="Header">
    <w:name w:val="header"/>
    <w:basedOn w:val="Normal"/>
    <w:link w:val="HeaderChar"/>
    <w:uiPriority w:val="99"/>
    <w:unhideWhenUsed/>
    <w:rsid w:val="00072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610"/>
  </w:style>
  <w:style w:type="paragraph" w:styleId="Footer">
    <w:name w:val="footer"/>
    <w:basedOn w:val="Normal"/>
    <w:link w:val="FooterChar"/>
    <w:uiPriority w:val="99"/>
    <w:unhideWhenUsed/>
    <w:rsid w:val="00072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10"/>
    <w:pPr>
      <w:ind w:left="720"/>
      <w:contextualSpacing/>
    </w:pPr>
  </w:style>
  <w:style w:type="paragraph" w:styleId="Header">
    <w:name w:val="header"/>
    <w:basedOn w:val="Normal"/>
    <w:link w:val="HeaderChar"/>
    <w:uiPriority w:val="99"/>
    <w:unhideWhenUsed/>
    <w:rsid w:val="00072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610"/>
  </w:style>
  <w:style w:type="paragraph" w:styleId="Footer">
    <w:name w:val="footer"/>
    <w:basedOn w:val="Normal"/>
    <w:link w:val="FooterChar"/>
    <w:uiPriority w:val="99"/>
    <w:unhideWhenUsed/>
    <w:rsid w:val="00072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2019-07-25T03:29:00Z</dcterms:created>
  <dcterms:modified xsi:type="dcterms:W3CDTF">2019-07-25T03:30:00Z</dcterms:modified>
</cp:coreProperties>
</file>