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A2" w:rsidRPr="00D9142F" w:rsidRDefault="004A26A2" w:rsidP="004A26A2">
      <w:pPr>
        <w:spacing w:line="360" w:lineRule="auto"/>
        <w:ind w:right="4"/>
        <w:jc w:val="center"/>
        <w:rPr>
          <w:rFonts w:ascii="Arial" w:eastAsia="Arial" w:hAnsi="Arial"/>
          <w:b/>
          <w:sz w:val="28"/>
        </w:rPr>
      </w:pPr>
      <w:r w:rsidRPr="00D9142F">
        <w:rPr>
          <w:rFonts w:ascii="Arial" w:eastAsia="Arial" w:hAnsi="Arial"/>
          <w:b/>
          <w:sz w:val="28"/>
        </w:rPr>
        <w:t>Daftar Pustaka</w:t>
      </w:r>
    </w:p>
    <w:p w:rsidR="004A26A2" w:rsidRPr="008F32CF" w:rsidRDefault="004A26A2" w:rsidP="004A26A2">
      <w:pPr>
        <w:spacing w:line="360" w:lineRule="auto"/>
        <w:jc w:val="both"/>
        <w:rPr>
          <w:rFonts w:ascii="Arial" w:eastAsia="Times New Roman" w:hAnsi="Arial"/>
        </w:rPr>
      </w:pP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  <w:i/>
        </w:rPr>
      </w:pPr>
      <w:r w:rsidRPr="008F32CF">
        <w:rPr>
          <w:rFonts w:ascii="Arial" w:hAnsi="Arial"/>
        </w:rPr>
        <w:t>Amir</w:t>
      </w:r>
      <w:r w:rsidRPr="008F32CF"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 xml:space="preserve">Machmud; </w:t>
      </w:r>
      <w:r w:rsidRPr="008F32CF">
        <w:rPr>
          <w:rFonts w:ascii="Arial" w:hAnsi="Arial"/>
        </w:rPr>
        <w:t xml:space="preserve">Rukmana, 2010, </w:t>
      </w:r>
      <w:r w:rsidRPr="008F32CF">
        <w:rPr>
          <w:rFonts w:ascii="Arial" w:hAnsi="Arial"/>
          <w:i/>
        </w:rPr>
        <w:t>Bank Syariah; Teori, Kebijakan Dan</w:t>
      </w:r>
      <w:r w:rsidRPr="0055244B">
        <w:rPr>
          <w:rFonts w:ascii="Arial" w:hAnsi="Arial"/>
          <w:i/>
        </w:rPr>
        <w:t xml:space="preserve"> </w:t>
      </w:r>
      <w:r w:rsidRPr="008F32CF">
        <w:rPr>
          <w:rFonts w:ascii="Arial" w:hAnsi="Arial"/>
          <w:i/>
        </w:rPr>
        <w:t>Study</w:t>
      </w:r>
    </w:p>
    <w:p w:rsidR="004A26A2" w:rsidRPr="008F32CF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firstLine="1418"/>
        <w:jc w:val="both"/>
        <w:rPr>
          <w:rFonts w:ascii="Arial" w:hAnsi="Arial"/>
        </w:rPr>
      </w:pPr>
      <w:r w:rsidRPr="008F32CF">
        <w:rPr>
          <w:rFonts w:ascii="Arial" w:hAnsi="Arial"/>
          <w:i/>
        </w:rPr>
        <w:t xml:space="preserve">Empiris Di Indonesia, </w:t>
      </w:r>
      <w:r w:rsidRPr="008F32CF">
        <w:rPr>
          <w:rFonts w:ascii="Arial" w:hAnsi="Arial"/>
        </w:rPr>
        <w:t>(Jakarta: Erlangga)</w:t>
      </w:r>
    </w:p>
    <w:p w:rsidR="004A26A2" w:rsidRDefault="004A26A2" w:rsidP="004A26A2">
      <w:pPr>
        <w:tabs>
          <w:tab w:val="left" w:pos="7938"/>
        </w:tabs>
        <w:spacing w:line="360" w:lineRule="auto"/>
        <w:ind w:left="1940" w:right="-1" w:hanging="1940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Bank Indonesia, Peraturan Bank Indone</w:t>
      </w:r>
      <w:r>
        <w:rPr>
          <w:rFonts w:ascii="Arial" w:eastAsia="Arial" w:hAnsi="Arial"/>
        </w:rPr>
        <w:t xml:space="preserve">sia Nomor: 7/2/PBI/2005 tanggal </w:t>
      </w:r>
      <w:r w:rsidRPr="008F32CF">
        <w:rPr>
          <w:rFonts w:ascii="Arial" w:eastAsia="Arial" w:hAnsi="Arial"/>
        </w:rPr>
        <w:t>20</w:t>
      </w:r>
    </w:p>
    <w:p w:rsidR="004A26A2" w:rsidRPr="008F32CF" w:rsidRDefault="004A26A2" w:rsidP="004A26A2">
      <w:pPr>
        <w:tabs>
          <w:tab w:val="left" w:pos="7938"/>
        </w:tabs>
        <w:spacing w:line="360" w:lineRule="auto"/>
        <w:ind w:left="1940" w:right="-1" w:hanging="380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Januari 2005</w:t>
      </w:r>
    </w:p>
    <w:p w:rsidR="004A26A2" w:rsidRPr="0055244B" w:rsidRDefault="004A26A2" w:rsidP="004A26A2">
      <w:pPr>
        <w:tabs>
          <w:tab w:val="left" w:pos="7938"/>
        </w:tabs>
        <w:spacing w:line="360" w:lineRule="auto"/>
        <w:ind w:left="588" w:right="-1" w:hanging="588"/>
        <w:jc w:val="both"/>
        <w:rPr>
          <w:rFonts w:ascii="Arial" w:hAnsi="Arial"/>
          <w:color w:val="000000" w:themeColor="text1"/>
        </w:rPr>
      </w:pPr>
      <w:r>
        <w:rPr>
          <w:sz w:val="24"/>
        </w:rPr>
        <w:t xml:space="preserve">Hasibuan, S.P. Melayu, 2005. </w:t>
      </w:r>
      <w:r>
        <w:rPr>
          <w:i/>
          <w:sz w:val="24"/>
        </w:rPr>
        <w:t xml:space="preserve">Dasar-dasar Perbankan. </w:t>
      </w:r>
      <w:r>
        <w:rPr>
          <w:sz w:val="24"/>
        </w:rPr>
        <w:t>PT. Bumi Aksara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</w:rPr>
      </w:pPr>
      <w:r w:rsidRPr="008F32CF">
        <w:rPr>
          <w:rFonts w:ascii="Arial" w:hAnsi="Arial"/>
        </w:rPr>
        <w:t xml:space="preserve">Herman Darmawi, 2012, </w:t>
      </w:r>
      <w:r w:rsidRPr="008F32CF">
        <w:rPr>
          <w:rFonts w:ascii="Arial" w:hAnsi="Arial"/>
          <w:i/>
        </w:rPr>
        <w:t>Manajemen Perbankan</w:t>
      </w:r>
      <w:r>
        <w:rPr>
          <w:rFonts w:ascii="Arial" w:hAnsi="Arial"/>
        </w:rPr>
        <w:t xml:space="preserve">, (Jakarta: PT Bumi </w:t>
      </w:r>
      <w:r w:rsidRPr="008F32CF">
        <w:rPr>
          <w:rFonts w:ascii="Arial" w:hAnsi="Arial"/>
        </w:rPr>
        <w:t>Aksara)</w:t>
      </w:r>
    </w:p>
    <w:p w:rsidR="004A26A2" w:rsidRDefault="004A26A2" w:rsidP="004A26A2">
      <w:pPr>
        <w:tabs>
          <w:tab w:val="left" w:pos="7938"/>
        </w:tabs>
        <w:spacing w:line="360" w:lineRule="auto"/>
        <w:ind w:left="588" w:right="-1" w:hanging="588"/>
        <w:jc w:val="both"/>
        <w:rPr>
          <w:rFonts w:ascii="Arial" w:hAnsi="Arial"/>
        </w:rPr>
      </w:pPr>
      <w:r w:rsidRPr="008F32CF">
        <w:rPr>
          <w:rFonts w:ascii="Arial" w:hAnsi="Arial"/>
        </w:rPr>
        <w:t xml:space="preserve">Hermansyah, 2005, </w:t>
      </w:r>
      <w:r w:rsidRPr="008F32CF">
        <w:rPr>
          <w:rFonts w:ascii="Arial" w:hAnsi="Arial"/>
          <w:i/>
        </w:rPr>
        <w:t>Hukum Perbankan Nasional Indonesia</w:t>
      </w:r>
      <w:r w:rsidRPr="008F32CF">
        <w:rPr>
          <w:rFonts w:ascii="Arial" w:hAnsi="Arial"/>
        </w:rPr>
        <w:t xml:space="preserve">, </w:t>
      </w:r>
      <w:r>
        <w:rPr>
          <w:rFonts w:ascii="Arial" w:hAnsi="Arial"/>
        </w:rPr>
        <w:t>(Jakarta:</w:t>
      </w:r>
      <w:r w:rsidRPr="00C53863">
        <w:rPr>
          <w:rFonts w:ascii="Arial" w:hAnsi="Arial"/>
        </w:rPr>
        <w:t xml:space="preserve"> </w:t>
      </w:r>
      <w:r w:rsidRPr="008F32CF">
        <w:rPr>
          <w:rFonts w:ascii="Arial" w:hAnsi="Arial"/>
        </w:rPr>
        <w:t>Prenada</w:t>
      </w:r>
    </w:p>
    <w:p w:rsidR="004A26A2" w:rsidRDefault="004A26A2" w:rsidP="004A26A2">
      <w:pPr>
        <w:tabs>
          <w:tab w:val="left" w:pos="7938"/>
        </w:tabs>
        <w:spacing w:line="360" w:lineRule="auto"/>
        <w:ind w:left="588" w:right="-1" w:firstLine="688"/>
        <w:jc w:val="both"/>
        <w:rPr>
          <w:rFonts w:ascii="Arial" w:hAnsi="Arial"/>
          <w:color w:val="000000" w:themeColor="text1"/>
        </w:rPr>
      </w:pPr>
      <w:r w:rsidRPr="008F32CF">
        <w:rPr>
          <w:rFonts w:ascii="Arial" w:hAnsi="Arial"/>
        </w:rPr>
        <w:t xml:space="preserve">Media </w:t>
      </w:r>
      <w:r w:rsidRPr="00F42F9E">
        <w:rPr>
          <w:rFonts w:ascii="Arial" w:hAnsi="Arial"/>
          <w:color w:val="000000" w:themeColor="text1"/>
        </w:rPr>
        <w:t>Group)</w:t>
      </w:r>
    </w:p>
    <w:p w:rsidR="004A26A2" w:rsidRPr="0055244B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sz w:val="24"/>
        </w:rPr>
      </w:pPr>
      <w:r>
        <w:rPr>
          <w:sz w:val="24"/>
        </w:rPr>
        <w:t xml:space="preserve">Kasmir, 2006. </w:t>
      </w:r>
      <w:r>
        <w:rPr>
          <w:i/>
          <w:sz w:val="24"/>
        </w:rPr>
        <w:t xml:space="preserve">Manajemen Perbankan, </w:t>
      </w:r>
      <w:r>
        <w:rPr>
          <w:sz w:val="24"/>
        </w:rPr>
        <w:t>PT. Raja Gravindo Persada, Jakarta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sz w:val="24"/>
        </w:rPr>
      </w:pPr>
      <w:r>
        <w:rPr>
          <w:sz w:val="24"/>
        </w:rPr>
        <w:t xml:space="preserve">Kasmir, 2007. </w:t>
      </w:r>
      <w:r>
        <w:rPr>
          <w:i/>
          <w:sz w:val="24"/>
        </w:rPr>
        <w:t xml:space="preserve">Bank dan Lembaga Keuangan Lainnya, </w:t>
      </w:r>
      <w:r>
        <w:rPr>
          <w:sz w:val="24"/>
        </w:rPr>
        <w:t>Edisi Ke Enam. PT.Raja</w:t>
      </w:r>
    </w:p>
    <w:p w:rsidR="004A26A2" w:rsidRDefault="004A26A2" w:rsidP="004A26A2">
      <w:pPr>
        <w:tabs>
          <w:tab w:val="left" w:pos="7938"/>
        </w:tabs>
        <w:spacing w:line="360" w:lineRule="auto"/>
        <w:ind w:left="426" w:right="-1" w:hanging="426"/>
        <w:jc w:val="both"/>
        <w:rPr>
          <w:rFonts w:ascii="Arial" w:hAnsi="Arial"/>
          <w:color w:val="000000" w:themeColor="text1"/>
        </w:rPr>
      </w:pPr>
      <w:r w:rsidRPr="00F42F9E">
        <w:rPr>
          <w:rFonts w:ascii="Arial" w:hAnsi="Arial"/>
          <w:color w:val="000000" w:themeColor="text1"/>
        </w:rPr>
        <w:t xml:space="preserve">Kasmir, 2013, </w:t>
      </w:r>
      <w:r w:rsidRPr="00F42F9E">
        <w:rPr>
          <w:rFonts w:ascii="Arial" w:hAnsi="Arial"/>
          <w:i/>
          <w:color w:val="000000" w:themeColor="text1"/>
        </w:rPr>
        <w:t>Bank dan Lembaga Keuangan Lainnya</w:t>
      </w:r>
      <w:r w:rsidRPr="00F42F9E">
        <w:rPr>
          <w:rFonts w:ascii="Arial" w:hAnsi="Arial"/>
          <w:color w:val="000000" w:themeColor="text1"/>
        </w:rPr>
        <w:t>, (Jakarta: Rajawali Pers)</w:t>
      </w:r>
    </w:p>
    <w:p w:rsidR="004A26A2" w:rsidRPr="00A62DAF" w:rsidRDefault="004A26A2" w:rsidP="004A26A2">
      <w:pPr>
        <w:spacing w:line="258" w:lineRule="auto"/>
        <w:ind w:right="-1"/>
        <w:jc w:val="both"/>
        <w:rPr>
          <w:rFonts w:ascii="Arial" w:hAnsi="Arial"/>
        </w:rPr>
      </w:pPr>
      <w:r w:rsidRPr="0066715B">
        <w:rPr>
          <w:rFonts w:ascii="Arial" w:hAnsi="Arial" w:cs="Arial"/>
        </w:rPr>
        <w:t>Ketetapan Mentri keuangan No 135/PMK.05/2008 tentang fasilitas penjaminan KUR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hanging="142"/>
        <w:jc w:val="both"/>
        <w:rPr>
          <w:rFonts w:ascii="Arial" w:hAnsi="Arial"/>
          <w:color w:val="000000" w:themeColor="text1"/>
        </w:rPr>
      </w:pPr>
      <w:r w:rsidRPr="00F42F9E">
        <w:rPr>
          <w:rFonts w:ascii="Arial" w:hAnsi="Arial"/>
          <w:color w:val="000000" w:themeColor="text1"/>
        </w:rPr>
        <w:t xml:space="preserve">Muchdarsyah Sinungan, </w:t>
      </w:r>
      <w:r w:rsidRPr="00F42F9E">
        <w:rPr>
          <w:rFonts w:ascii="Arial" w:hAnsi="Arial"/>
          <w:i/>
          <w:color w:val="000000" w:themeColor="text1"/>
        </w:rPr>
        <w:t>Manajemen Dana Bank, (</w:t>
      </w:r>
      <w:r w:rsidRPr="00F42F9E">
        <w:rPr>
          <w:rFonts w:ascii="Arial" w:hAnsi="Arial"/>
          <w:color w:val="000000" w:themeColor="text1"/>
        </w:rPr>
        <w:t>Jakarta : Bumi Aksara)</w:t>
      </w:r>
    </w:p>
    <w:p w:rsidR="004A26A2" w:rsidRDefault="004A26A2" w:rsidP="004A26A2">
      <w:pPr>
        <w:tabs>
          <w:tab w:val="left" w:pos="7938"/>
        </w:tabs>
        <w:spacing w:line="360" w:lineRule="auto"/>
        <w:ind w:left="1960" w:right="-1" w:hanging="1960"/>
        <w:jc w:val="both"/>
        <w:rPr>
          <w:rFonts w:ascii="Arial" w:eastAsia="Arial" w:hAnsi="Arial"/>
          <w:i/>
        </w:rPr>
      </w:pPr>
      <w:r w:rsidRPr="008F32CF">
        <w:rPr>
          <w:rFonts w:ascii="Arial" w:eastAsia="Arial" w:hAnsi="Arial"/>
        </w:rPr>
        <w:t xml:space="preserve">Putri, Ferayanti, Guruh Tika (2010), </w:t>
      </w:r>
      <w:r w:rsidRPr="008F32CF">
        <w:rPr>
          <w:rFonts w:ascii="Arial" w:eastAsia="Arial" w:hAnsi="Arial"/>
          <w:i/>
        </w:rPr>
        <w:t>T</w:t>
      </w:r>
      <w:r>
        <w:rPr>
          <w:rFonts w:ascii="Arial" w:eastAsia="Arial" w:hAnsi="Arial"/>
          <w:i/>
        </w:rPr>
        <w:t>injauan Atas Prosedur Pemberian</w:t>
      </w:r>
      <w:r w:rsidRPr="0055244B">
        <w:rPr>
          <w:rFonts w:ascii="Arial" w:eastAsia="Arial" w:hAnsi="Arial"/>
          <w:i/>
        </w:rPr>
        <w:t xml:space="preserve"> </w:t>
      </w:r>
      <w:r w:rsidRPr="008F32CF">
        <w:rPr>
          <w:rFonts w:ascii="Arial" w:eastAsia="Arial" w:hAnsi="Arial"/>
          <w:i/>
        </w:rPr>
        <w:t>Kredit</w:t>
      </w:r>
      <w:r w:rsidRPr="008F32CF">
        <w:rPr>
          <w:rFonts w:ascii="Arial" w:eastAsia="Arial" w:hAnsi="Arial"/>
        </w:rPr>
        <w:t>,</w:t>
      </w:r>
      <w:r>
        <w:rPr>
          <w:rFonts w:ascii="Arial" w:eastAsia="Arial" w:hAnsi="Arial"/>
          <w:i/>
        </w:rPr>
        <w:t xml:space="preserve"> </w:t>
      </w:r>
    </w:p>
    <w:p w:rsidR="004A26A2" w:rsidRDefault="004A26A2" w:rsidP="004A26A2">
      <w:pPr>
        <w:tabs>
          <w:tab w:val="left" w:pos="7938"/>
        </w:tabs>
        <w:spacing w:line="360" w:lineRule="auto"/>
        <w:ind w:left="1843" w:right="-1" w:hanging="1417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Jurnal Program Studi Akuntans</w:t>
      </w:r>
      <w:r>
        <w:rPr>
          <w:rFonts w:ascii="Arial" w:eastAsia="Arial" w:hAnsi="Arial"/>
        </w:rPr>
        <w:t xml:space="preserve">i Fakultas Ekonomi, Universitas </w:t>
      </w:r>
      <w:r w:rsidRPr="008F32CF">
        <w:rPr>
          <w:rFonts w:ascii="Arial" w:eastAsia="Arial" w:hAnsi="Arial"/>
        </w:rPr>
        <w:t xml:space="preserve">Komputer </w:t>
      </w:r>
    </w:p>
    <w:p w:rsidR="004A26A2" w:rsidRDefault="004A26A2" w:rsidP="004A26A2">
      <w:pPr>
        <w:tabs>
          <w:tab w:val="left" w:pos="7938"/>
        </w:tabs>
        <w:spacing w:line="360" w:lineRule="auto"/>
        <w:ind w:left="1843" w:right="-1" w:hanging="1417"/>
        <w:jc w:val="both"/>
        <w:rPr>
          <w:rFonts w:ascii="Arial" w:eastAsia="Arial" w:hAnsi="Arial"/>
        </w:rPr>
      </w:pPr>
      <w:r w:rsidRPr="008F32CF">
        <w:rPr>
          <w:rFonts w:ascii="Arial" w:eastAsia="Arial" w:hAnsi="Arial"/>
        </w:rPr>
        <w:t>Indonesia, Bandung.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 w:rsidRPr="0066715B">
        <w:rPr>
          <w:rFonts w:ascii="Arial" w:hAnsi="Arial" w:cs="Arial"/>
        </w:rPr>
        <w:t>Peraturan Mente</w:t>
      </w:r>
      <w:r>
        <w:rPr>
          <w:rFonts w:ascii="Arial" w:hAnsi="Arial" w:cs="Arial"/>
        </w:rPr>
        <w:t>ri Pertanian RI Tahun 2018 No.</w:t>
      </w:r>
      <w:r w:rsidRPr="0066715B">
        <w:rPr>
          <w:rFonts w:ascii="Arial" w:hAnsi="Arial" w:cs="Arial"/>
        </w:rPr>
        <w:t xml:space="preserve">16/PERMENTAN/SR.230/4/2018 mengenai Fasilitasi Kredit Usaha Rakyat dalam Sektor Pertanian. 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 w:rsidRPr="009D73F6">
        <w:rPr>
          <w:rFonts w:ascii="Arial" w:hAnsi="Arial" w:cs="Arial"/>
        </w:rPr>
        <w:t>Peraturan Menteri Koordinator Bidang Perekonomian Nomor 11 Tahun 2017 tentang Pedoman Pelaksanaan KUR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Surat Facs KW BRI Cianjur</w:t>
      </w:r>
      <w:r w:rsidRPr="00BD3921">
        <w:rPr>
          <w:rFonts w:ascii="Arial" w:hAnsi="Arial" w:cs="Arial"/>
        </w:rPr>
        <w:t xml:space="preserve"> No : B.401/KW-XIII/SDM/02/07 tanggal 25 September 2018</w:t>
      </w:r>
      <w:r>
        <w:rPr>
          <w:rFonts w:ascii="Arial" w:hAnsi="Arial" w:cs="Arial"/>
        </w:rPr>
        <w:t>, tentang struktur organisasi BRI Cabang Cianjur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sz w:val="24"/>
        </w:rPr>
      </w:pPr>
      <w:r>
        <w:rPr>
          <w:sz w:val="24"/>
        </w:rPr>
        <w:t xml:space="preserve">Susilo.2000. </w:t>
      </w:r>
      <w:r>
        <w:rPr>
          <w:i/>
          <w:sz w:val="24"/>
        </w:rPr>
        <w:t xml:space="preserve">Bank dan Lembaga Keuangan Lainnya, </w:t>
      </w:r>
      <w:r>
        <w:rPr>
          <w:sz w:val="24"/>
        </w:rPr>
        <w:t>PT. Salemba Empat, Jakarta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left="142" w:right="-1" w:firstLine="425"/>
        <w:jc w:val="both"/>
        <w:rPr>
          <w:sz w:val="24"/>
        </w:rPr>
      </w:pPr>
      <w:r>
        <w:rPr>
          <w:sz w:val="24"/>
        </w:rPr>
        <w:lastRenderedPageBreak/>
        <w:t>Gravindo Persada,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Undang-Undang Republik Indonesia Nomor 20 Tahun 2008 </w:t>
      </w:r>
    </w:p>
    <w:p w:rsidR="004A26A2" w:rsidRDefault="004A26A2" w:rsidP="004A26A2">
      <w:pPr>
        <w:tabs>
          <w:tab w:val="left" w:pos="1985"/>
          <w:tab w:val="left" w:pos="7938"/>
        </w:tabs>
        <w:spacing w:line="360" w:lineRule="auto"/>
        <w:ind w:right="-1"/>
        <w:jc w:val="both"/>
        <w:rPr>
          <w:sz w:val="24"/>
        </w:rPr>
      </w:pPr>
      <w:r>
        <w:rPr>
          <w:rFonts w:ascii="Arial" w:hAnsi="Arial" w:cs="Arial"/>
        </w:rPr>
        <w:t>Undang-Undang Republik Indonesia Nomor 4 Tahun 2009</w:t>
      </w:r>
    </w:p>
    <w:p w:rsidR="004A26A2" w:rsidRPr="0055244B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Fonts w:ascii="Arial" w:eastAsia="Arial" w:hAnsi="Arial"/>
          <w:b/>
        </w:rPr>
      </w:pPr>
      <w:r w:rsidRPr="008F32CF">
        <w:rPr>
          <w:rFonts w:ascii="Arial" w:eastAsia="Arial" w:hAnsi="Arial"/>
          <w:b/>
        </w:rPr>
        <w:t>Internet :</w:t>
      </w:r>
    </w:p>
    <w:p w:rsidR="004A26A2" w:rsidRPr="008F32CF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hAnsi="Arial"/>
          <w:color w:val="000000" w:themeColor="text1"/>
        </w:rPr>
      </w:pPr>
      <w:hyperlink r:id="rId4" w:history="1">
        <w:r w:rsidRPr="008F32CF">
          <w:rPr>
            <w:rStyle w:val="Hyperlink"/>
            <w:rFonts w:ascii="Arial" w:hAnsi="Arial"/>
            <w:color w:val="000000" w:themeColor="text1"/>
          </w:rPr>
          <w:t>www.ardra.biz/ekonomi/ekonomi-perbankan-lembaga-keuangan/pengertian-jenis-jenis-bank/</w:t>
        </w:r>
      </w:hyperlink>
    </w:p>
    <w:p w:rsidR="004A26A2" w:rsidRPr="00F42F9E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hAnsi="Arial"/>
          <w:color w:val="000000" w:themeColor="text1"/>
        </w:rPr>
      </w:pPr>
      <w:hyperlink r:id="rId5" w:history="1">
        <w:r w:rsidRPr="00F42F9E">
          <w:rPr>
            <w:rStyle w:val="Hyperlink"/>
            <w:rFonts w:ascii="Arial" w:hAnsi="Arial"/>
            <w:color w:val="000000" w:themeColor="text1"/>
          </w:rPr>
          <w:t>www.bri.co.id</w:t>
        </w:r>
      </w:hyperlink>
    </w:p>
    <w:p w:rsidR="004A26A2" w:rsidRPr="007C6A29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Fonts w:ascii="Arial" w:eastAsia="Times New Roman" w:hAnsi="Arial"/>
          <w:color w:val="000000" w:themeColor="text1"/>
        </w:rPr>
      </w:pPr>
      <w:hyperlink r:id="rId6" w:history="1">
        <w:r w:rsidRPr="008F32CF">
          <w:rPr>
            <w:rStyle w:val="Hyperlink"/>
            <w:rFonts w:ascii="Arial" w:eastAsia="Times New Roman" w:hAnsi="Arial"/>
            <w:color w:val="000000" w:themeColor="text1"/>
          </w:rPr>
          <w:t>www.ekonomisku.blogspot.com/2016/09/sektor-sektor-perekonomian-indonesia.html</w:t>
        </w:r>
      </w:hyperlink>
    </w:p>
    <w:p w:rsidR="004A26A2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Style w:val="Hyperlink"/>
          <w:i/>
          <w:color w:val="000000" w:themeColor="text1"/>
          <w:sz w:val="24"/>
          <w:u w:color="0000FF"/>
        </w:rPr>
      </w:pPr>
      <w:hyperlink r:id="rId7" w:history="1">
        <w:r w:rsidRPr="00F42F9E">
          <w:rPr>
            <w:rStyle w:val="Hyperlink"/>
            <w:i/>
            <w:color w:val="000000" w:themeColor="text1"/>
            <w:sz w:val="24"/>
            <w:u w:color="0000FF"/>
          </w:rPr>
          <w:t>www.infoperbankan.com/bri/kur-bri.html</w:t>
        </w:r>
      </w:hyperlink>
    </w:p>
    <w:p w:rsidR="004A26A2" w:rsidRPr="008F32CF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Fonts w:ascii="Arial" w:hAnsi="Arial"/>
          <w:color w:val="000000" w:themeColor="text1"/>
          <w:u w:val="single"/>
        </w:rPr>
      </w:pPr>
      <w:hyperlink r:id="rId8" w:history="1">
        <w:r w:rsidRPr="008F32CF">
          <w:rPr>
            <w:rStyle w:val="Hyperlink"/>
            <w:rFonts w:ascii="Arial" w:hAnsi="Arial"/>
            <w:color w:val="000000" w:themeColor="text1"/>
          </w:rPr>
          <w:t>www.kur.ekon.go.id/realisasi_kur/2019/2</w:t>
        </w:r>
      </w:hyperlink>
    </w:p>
    <w:p w:rsidR="004A26A2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Style w:val="Hyperlink"/>
          <w:rFonts w:ascii="Arial" w:eastAsia="Times New Roman" w:hAnsi="Arial"/>
          <w:color w:val="000000" w:themeColor="text1"/>
        </w:rPr>
      </w:pPr>
      <w:hyperlink r:id="rId9" w:history="1">
        <w:r w:rsidRPr="008F32CF">
          <w:rPr>
            <w:rStyle w:val="Hyperlink"/>
            <w:rFonts w:ascii="Arial" w:eastAsia="Times New Roman" w:hAnsi="Arial"/>
            <w:color w:val="000000" w:themeColor="text1"/>
          </w:rPr>
          <w:t>www.pendidikan.co.id/umkm-pengertian-ciri-kriteria-klasifikasi-jenis-kelebihan/</w:t>
        </w:r>
      </w:hyperlink>
    </w:p>
    <w:p w:rsidR="004A26A2" w:rsidRPr="008F32CF" w:rsidRDefault="004A26A2" w:rsidP="004A26A2">
      <w:pPr>
        <w:tabs>
          <w:tab w:val="left" w:pos="7938"/>
        </w:tabs>
        <w:spacing w:line="360" w:lineRule="auto"/>
        <w:ind w:right="-1"/>
        <w:jc w:val="both"/>
        <w:rPr>
          <w:rFonts w:ascii="Arial" w:eastAsia="Arial" w:hAnsi="Arial"/>
          <w:color w:val="000000" w:themeColor="text1"/>
        </w:rPr>
      </w:pPr>
      <w:hyperlink r:id="rId10" w:history="1">
        <w:r w:rsidRPr="008F32CF">
          <w:rPr>
            <w:rFonts w:ascii="Arial" w:eastAsia="Arial" w:hAnsi="Arial"/>
            <w:b/>
            <w:color w:val="000000" w:themeColor="text1"/>
            <w:u w:val="single"/>
          </w:rPr>
          <w:t>www. setkab/go.id</w:t>
        </w:r>
        <w:r w:rsidRPr="008F32CF">
          <w:rPr>
            <w:rFonts w:ascii="Arial" w:eastAsia="Arial" w:hAnsi="Arial"/>
            <w:b/>
            <w:color w:val="000000" w:themeColor="text1"/>
          </w:rPr>
          <w:t xml:space="preserve"> </w:t>
        </w:r>
      </w:hyperlink>
      <w:r w:rsidRPr="008F32CF">
        <w:rPr>
          <w:rFonts w:ascii="Arial" w:eastAsia="Arial" w:hAnsi="Arial"/>
          <w:color w:val="000000" w:themeColor="text1"/>
        </w:rPr>
        <w:t>tentang</w:t>
      </w:r>
      <w:r w:rsidRPr="008F32CF">
        <w:rPr>
          <w:rFonts w:ascii="Arial" w:eastAsia="Arial" w:hAnsi="Arial"/>
          <w:b/>
          <w:color w:val="000000" w:themeColor="text1"/>
        </w:rPr>
        <w:t xml:space="preserve"> </w:t>
      </w:r>
      <w:r w:rsidRPr="008F32CF">
        <w:rPr>
          <w:rFonts w:ascii="Arial" w:eastAsia="Arial" w:hAnsi="Arial"/>
          <w:color w:val="000000" w:themeColor="text1"/>
        </w:rPr>
        <w:t xml:space="preserve">KUR Mengoptimalkan Usaha UMKM 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A26A2"/>
    <w:rsid w:val="00160FF9"/>
    <w:rsid w:val="00283D5D"/>
    <w:rsid w:val="004A26A2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A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.ekon.go.id/realisasi_kur/2019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perbankan.com/bri/kur-br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nomisku.blogspot.com/2016/09/sektor-sektor-perekonomian-indones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.co.id" TargetMode="External"/><Relationship Id="rId10" Type="http://schemas.openxmlformats.org/officeDocument/2006/relationships/hyperlink" Target="http://setkab/go.id" TargetMode="External"/><Relationship Id="rId4" Type="http://schemas.openxmlformats.org/officeDocument/2006/relationships/hyperlink" Target="http://www.ardra.biz/ekonomi/ekonomi-perbankan-lembaga-keuangan/pengertian-jenis-jenis-bank/" TargetMode="External"/><Relationship Id="rId9" Type="http://schemas.openxmlformats.org/officeDocument/2006/relationships/hyperlink" Target="http://www.pendidikan.co.id/umkm-pengertian-ciri-kriteria-klasifikasi-jenis-kelebih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2020-07-02T05:46:00Z</dcterms:created>
  <dcterms:modified xsi:type="dcterms:W3CDTF">2020-07-02T05:46:00Z</dcterms:modified>
</cp:coreProperties>
</file>